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57" w:rsidRPr="007D01A3" w:rsidRDefault="00870A57" w:rsidP="00870A57">
      <w:pPr>
        <w:pBdr>
          <w:bottom w:val="single" w:sz="6" w:space="6" w:color="B9C3D8"/>
        </w:pBdr>
        <w:shd w:val="clear" w:color="auto" w:fill="FFFFFF"/>
        <w:spacing w:after="300"/>
        <w:outlineLvl w:val="0"/>
        <w:rPr>
          <w:rFonts w:ascii="gardens_C_Regular" w:hAnsi="gardens_C_Regular"/>
          <w:color w:val="495368"/>
          <w:kern w:val="36"/>
          <w:sz w:val="39"/>
          <w:szCs w:val="39"/>
        </w:rPr>
      </w:pPr>
      <w:r w:rsidRPr="007D01A3">
        <w:rPr>
          <w:rFonts w:ascii="gardens_C_Regular" w:hAnsi="gardens_C_Regular"/>
          <w:color w:val="495368"/>
          <w:kern w:val="36"/>
          <w:sz w:val="39"/>
          <w:szCs w:val="39"/>
        </w:rPr>
        <w:t>ПАМЯТКА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870A57" w:rsidRDefault="00870A57" w:rsidP="00870A57">
      <w:pPr>
        <w:pStyle w:val="p3"/>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В соответствии с Федеральным законом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Обращаем внимание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Также необходимо обратить внимание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proofErr w:type="gramStart"/>
      <w:r>
        <w:rPr>
          <w:rFonts w:ascii="Tahoma" w:hAnsi="Tahoma" w:cs="Tahoma"/>
          <w:color w:val="3B3B3B"/>
          <w:sz w:val="19"/>
          <w:szCs w:val="19"/>
        </w:rPr>
        <w:t>В соответствии со статьей 19.28 </w:t>
      </w:r>
      <w:proofErr w:type="spellStart"/>
      <w:r>
        <w:rPr>
          <w:rFonts w:ascii="Tahoma" w:hAnsi="Tahoma" w:cs="Tahoma"/>
          <w:color w:val="3B3B3B"/>
          <w:sz w:val="19"/>
          <w:szCs w:val="19"/>
        </w:rPr>
        <w:t>КоАП</w:t>
      </w:r>
      <w:proofErr w:type="spellEnd"/>
      <w:r>
        <w:rPr>
          <w:rFonts w:ascii="Tahoma" w:hAnsi="Tahoma" w:cs="Tahoma"/>
          <w:color w:val="3B3B3B"/>
          <w:sz w:val="19"/>
          <w:szCs w:val="19"/>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покушение на получение взятки или незаконное вознаграждение при коммерческом подкупе.</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proofErr w:type="gramStart"/>
      <w:r>
        <w:rPr>
          <w:rFonts w:ascii="Tahoma" w:hAnsi="Tahoma" w:cs="Tahoma"/>
          <w:color w:val="3B3B3B"/>
          <w:sz w:val="19"/>
          <w:szCs w:val="19"/>
        </w:rPr>
        <w:t>Необходимо иметь в виду,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тоже квалифицируются как получение взятки.</w:t>
      </w:r>
      <w:proofErr w:type="gramEnd"/>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proofErr w:type="gramStart"/>
      <w:r>
        <w:rPr>
          <w:rFonts w:ascii="Tahoma" w:hAnsi="Tahoma" w:cs="Tahoma"/>
          <w:color w:val="3B3B3B"/>
          <w:sz w:val="19"/>
          <w:szCs w:val="19"/>
        </w:rPr>
        <w:t>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 охраняемых интересов.</w:t>
      </w:r>
      <w:proofErr w:type="gramEnd"/>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Уголовный кодекс Российской Федерации (далее - УК РФ), предусматривает,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lastRenderedPageBreak/>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w:t>
      </w:r>
      <w:proofErr w:type="spellStart"/>
      <w:r>
        <w:rPr>
          <w:rFonts w:ascii="Tahoma" w:hAnsi="Tahoma" w:cs="Tahoma"/>
          <w:color w:val="3B3B3B"/>
          <w:sz w:val="19"/>
          <w:szCs w:val="19"/>
        </w:rPr>
        <w:t>КоАП</w:t>
      </w:r>
      <w:proofErr w:type="spellEnd"/>
      <w:r>
        <w:rPr>
          <w:rFonts w:ascii="Tahoma" w:hAnsi="Tahoma" w:cs="Tahoma"/>
          <w:color w:val="3B3B3B"/>
          <w:sz w:val="19"/>
          <w:szCs w:val="19"/>
        </w:rPr>
        <w:t xml:space="preserve"> РФ).</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proofErr w:type="gramStart"/>
      <w:r>
        <w:rPr>
          <w:rFonts w:ascii="Tahoma" w:hAnsi="Tahoma" w:cs="Tahoma"/>
          <w:color w:val="3B3B3B"/>
          <w:sz w:val="19"/>
          <w:szCs w:val="19"/>
        </w:rPr>
        <w:t>Так, в частности, Федеральным законом N 97-ФЗ введена статья 19.28 </w:t>
      </w:r>
      <w:proofErr w:type="spellStart"/>
      <w:r>
        <w:rPr>
          <w:rFonts w:ascii="Tahoma" w:hAnsi="Tahoma" w:cs="Tahoma"/>
          <w:color w:val="3B3B3B"/>
          <w:sz w:val="19"/>
          <w:szCs w:val="19"/>
        </w:rPr>
        <w:t>КоАП</w:t>
      </w:r>
      <w:proofErr w:type="spellEnd"/>
      <w:r>
        <w:rPr>
          <w:rFonts w:ascii="Tahoma" w:hAnsi="Tahoma" w:cs="Tahoma"/>
          <w:color w:val="3B3B3B"/>
          <w:sz w:val="19"/>
          <w:szCs w:val="19"/>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Pr>
          <w:rFonts w:ascii="Tahoma" w:hAnsi="Tahoma" w:cs="Tahoma"/>
          <w:color w:val="3B3B3B"/>
          <w:sz w:val="19"/>
          <w:szCs w:val="19"/>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Для предупреждения подобных негативных последствий государственным служащим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Работники обязаны соблюдать ограничения и запреты, требования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Работники должны помнить,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 родственники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 родственники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обязанностью работника.</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lastRenderedPageBreak/>
        <w:t>Работникам следует избегать слов, выражений и жестов,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К числу таких тем относятся, например:</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 низкий уровень заработной платы работника и нехватка денежных средств на реализацию тех или иных нужд;</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 желание приобрести то или иное имущество, получить ту или иную услугу, отправиться в туристическую поездку;</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 отсутствие работы у родственников работника;</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 необходимость поступления детей работника в образовательные учреждения и т.д.;</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Определенные исходящие от служащих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Это возможно даже в том случае, когда такие предложения продиктованы благими намерениями и никак не связаны с личной выгодой работника.</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К числу таких предложений относятся, например, предложения:</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 предоставить работнику и/или его родственникам скидку;</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 внести деньги в конкретный благотворительный фонд;</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 поддержать конкретную спортивную команду и т.д.;</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Совершение работниками определенных действий может восприниматься</w:t>
      </w:r>
      <w:r w:rsidR="003F0247">
        <w:rPr>
          <w:rFonts w:ascii="Tahoma" w:hAnsi="Tahoma" w:cs="Tahoma"/>
          <w:color w:val="3B3B3B"/>
          <w:sz w:val="19"/>
          <w:szCs w:val="19"/>
        </w:rPr>
        <w:t>,</w:t>
      </w:r>
      <w:r>
        <w:rPr>
          <w:rFonts w:ascii="Tahoma" w:hAnsi="Tahoma" w:cs="Tahoma"/>
          <w:color w:val="3B3B3B"/>
          <w:sz w:val="19"/>
          <w:szCs w:val="19"/>
        </w:rPr>
        <w:t xml:space="preserve"> как согласие принять взятку или просьба о даче взятки.</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К числу таких действий относятся, например:</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регулярное получение подарков стоимостью менее 3000 рублей;</w:t>
      </w:r>
    </w:p>
    <w:p w:rsidR="00870A57" w:rsidRDefault="00870A57" w:rsidP="00870A57">
      <w:pPr>
        <w:pStyle w:val="p4"/>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870A57" w:rsidRDefault="00870A57" w:rsidP="00870A57">
      <w:pPr>
        <w:pStyle w:val="p6"/>
        <w:shd w:val="clear" w:color="auto" w:fill="FFFFFF"/>
        <w:spacing w:before="150" w:beforeAutospacing="0" w:after="150" w:afterAutospacing="0"/>
        <w:jc w:val="both"/>
        <w:rPr>
          <w:rFonts w:ascii="Tahoma" w:hAnsi="Tahoma" w:cs="Tahoma"/>
          <w:color w:val="3B3B3B"/>
          <w:sz w:val="19"/>
          <w:szCs w:val="19"/>
        </w:rPr>
      </w:pPr>
      <w:r>
        <w:rPr>
          <w:rFonts w:ascii="Tahoma" w:hAnsi="Tahoma" w:cs="Tahoma"/>
          <w:color w:val="3B3B3B"/>
          <w:sz w:val="19"/>
          <w:szCs w:val="19"/>
        </w:rPr>
        <w:br/>
      </w:r>
      <w:r>
        <w:rPr>
          <w:rStyle w:val="a3"/>
          <w:rFonts w:ascii="Tahoma" w:hAnsi="Tahoma" w:cs="Tahoma"/>
          <w:color w:val="3B3B3B"/>
          <w:sz w:val="19"/>
          <w:szCs w:val="19"/>
        </w:rPr>
        <w:t>Памятка подготовлена с использованием Информации Минтруда России от 04.03.2013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D67DC0" w:rsidRDefault="00D67DC0" w:rsidP="00870A57">
      <w:pPr>
        <w:jc w:val="both"/>
      </w:pPr>
    </w:p>
    <w:sectPr w:rsidR="00D67DC0" w:rsidSect="00D67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dens_C_Regular">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A57"/>
    <w:rsid w:val="003F0247"/>
    <w:rsid w:val="00870A57"/>
    <w:rsid w:val="00D67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870A57"/>
    <w:pPr>
      <w:spacing w:before="100" w:beforeAutospacing="1" w:after="100" w:afterAutospacing="1"/>
    </w:pPr>
  </w:style>
  <w:style w:type="paragraph" w:customStyle="1" w:styleId="p4">
    <w:name w:val="p4"/>
    <w:basedOn w:val="a"/>
    <w:rsid w:val="00870A57"/>
    <w:pPr>
      <w:spacing w:before="100" w:beforeAutospacing="1" w:after="100" w:afterAutospacing="1"/>
    </w:pPr>
  </w:style>
  <w:style w:type="paragraph" w:customStyle="1" w:styleId="p6">
    <w:name w:val="p6"/>
    <w:basedOn w:val="a"/>
    <w:rsid w:val="00870A57"/>
    <w:pPr>
      <w:spacing w:before="100" w:beforeAutospacing="1" w:after="100" w:afterAutospacing="1"/>
    </w:pPr>
  </w:style>
  <w:style w:type="character" w:styleId="a3">
    <w:name w:val="Emphasis"/>
    <w:basedOn w:val="a0"/>
    <w:uiPriority w:val="20"/>
    <w:qFormat/>
    <w:rsid w:val="00870A5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9035</Characters>
  <Application>Microsoft Office Word</Application>
  <DocSecurity>0</DocSecurity>
  <Lines>75</Lines>
  <Paragraphs>21</Paragraphs>
  <ScaleCrop>false</ScaleCrop>
  <Company>SPecialiST RePack</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UserKSCON_05_02</dc:creator>
  <cp:keywords/>
  <dc:description/>
  <cp:lastModifiedBy>UserKSCON_05_02</cp:lastModifiedBy>
  <cp:revision>3</cp:revision>
  <dcterms:created xsi:type="dcterms:W3CDTF">2018-11-08T05:44:00Z</dcterms:created>
  <dcterms:modified xsi:type="dcterms:W3CDTF">2018-11-08T05:45:00Z</dcterms:modified>
</cp:coreProperties>
</file>